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Question 1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Ten years ago, a woman and her husband purchased a one-story commercial building in a city in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State A “as joint tenants with right of survivorship and not as tenants in common.” They had 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“</w:t>
      </w:r>
      <w:r>
        <w:rPr>
          <w:rFonts w:ascii="Arial" w:hAnsi="Arial"/>
          <w:sz w:val="26"/>
          <w:szCs w:val="26"/>
        </w:rPr>
        <w:t>commuter marriage.” The husband lived in an apartment in State A. The woman, who worked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for an international corporation, lived in a rented apartment overseas. They met one weekend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each month.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Three years ago, the husband borrowed $150,000 from a friend and granted the friend 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mortgage on the commercial building to secure repayment of the loan. The husband used the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$150,000 to purchase a yacht. The certificate of title for the yacht was issued in his name alone.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Two years ago, the husband leased the building to a commercial tenant for a 10-year period at an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annual rent of $9,000, “payable in equal monthly installments solely to” the husband.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woman did not know about either of these transactions, and she did not join in the mortgage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or the lease.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Last year, following the husband’s unexpected death, the woman first learned of the mortgage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the lease.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State A applies the title theory of mortgages, and its courts strictly apply the common law four unities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test. State A does not recognize tenancies by the entirety.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 Did the husband’s execution of the mortgage sever the joint tenancy? Explain.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 Assuming that the execution of the mortgage did not sever the joint tenancy: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(a) Did the husband’s execution of the lease sever the joint tenancy? Explain.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(b) Assuming further that the lease severed the joint tenancy, then upon the husband’s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death, what rights, if any, does the tenant have in the building? Explain.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 Assuming that neither the mortgage nor the lease severed the joint tenancy: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(a) During the spouses’ lifetimes, was the woman entitled to half of the rental income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payable to her husband under the lease? Explain.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(b) At the husband’s death, what rights, if any, do the woman and the tenant have in the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building? Explain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QUESTION 2: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Eighty years ago, Owner, the owner of vacant land known as Blackacre, conveyed Blackacre to 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local school district (School) “if School uses Blackacre only to teach children aged 5 to 13.”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Shortly after acquiring title to Blackacre, School erected a classroom building on Blackacre and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began teaching children aged 5 to 13 in that building.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Seventy years ago, Owner died and left his entire estate to Daughter.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School used the classroom building to teach its students aged 5 to 13 until three years ago when,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due to increasing enrollments, School built a new classroom building three miles from Blackacre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converted the classroom building on Blackacre into administrative offices.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building on Blackacre is now exclusively occupied by administrative offices, and all School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students aged 5 to 13 are taught in the new classroom building.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Two years ago, Daughter died. Daughter did not object to School’s altered use of Blackacre before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her death. She devised her entire estate to her Husband for life, with the remainder to “my surviving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children.” Daughter was survived by Husband and two children, Ann and Bill.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One year ago, Bill died. Bill’s entire estate passed to his wife, Mary.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One month ago, Husband, the life tenant under Daughter’s will, died. Husband was survived by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Ann and by Bill’s widow, Mary.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State law provides: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I. “Actions to recover the possession of real property shall be brought within 10 years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after the cause of action accrues.”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II. “All future interests are alienable, devisable, and descendible to the extent they do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not expire as a result of the holder’s death.”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III. “Conditions and limitations in a deed shall not be construed as covenants.”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There are no other relevant statutes.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What interests, if any, do School, Ann, and Mary have in Blackacre? Explain.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LibreOffice/7.3.7.2$Windows_X86_64 LibreOffice_project/e114eadc50a9ff8d8c8a0567d6da8f454beeb84f</Application>
  <AppVersion>15.0000</AppVersion>
  <Pages>3</Pages>
  <Words>633</Words>
  <Characters>3131</Characters>
  <CharactersWithSpaces>3712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2023-05-21T18:27:16Z</dcterms:created>
  <dc:creator/>
  <dc:description/>
  <dc:language>en-US</dc:language>
  <cp:lastModifiedBy/>
  <dcterms:modified xsi:type="dcterms:W3CDTF">2023-05-21T18:36:08Z</dcterms:modified>
  <cp:revision>1</cp:revision>
  <dc:subject/>
  <dc:title/>
</cp:coreProperties>
</file>